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525F" w14:textId="7FA4B8A3" w:rsidR="00B1103F" w:rsidRPr="00E028D3" w:rsidRDefault="00B1103F" w:rsidP="00B1103F">
      <w:pPr>
        <w:spacing w:after="0" w:line="240" w:lineRule="auto"/>
        <w:jc w:val="center"/>
        <w:rPr>
          <w:rFonts w:ascii="Times New Roman" w:eastAsia="Times New Roman" w:hAnsi="Times New Roman" w:cs="Times New Roman"/>
          <w:b/>
          <w:caps/>
          <w:sz w:val="24"/>
          <w:szCs w:val="24"/>
        </w:rPr>
      </w:pPr>
      <w:bookmarkStart w:id="0" w:name="_Hlk135726937"/>
      <w:bookmarkStart w:id="1" w:name="_Hlk28940907"/>
      <w:r w:rsidRPr="00E028D3">
        <w:rPr>
          <w:rFonts w:ascii="Times New Roman" w:eastAsia="Times New Roman" w:hAnsi="Times New Roman" w:cs="Times New Roman"/>
          <w:b/>
          <w:caps/>
          <w:sz w:val="24"/>
          <w:szCs w:val="24"/>
        </w:rPr>
        <w:t>SOAH DOCKET No. 473-2</w:t>
      </w:r>
      <w:r w:rsidR="00143789">
        <w:rPr>
          <w:rFonts w:ascii="Times New Roman" w:eastAsia="Times New Roman" w:hAnsi="Times New Roman" w:cs="Times New Roman"/>
          <w:b/>
          <w:caps/>
          <w:sz w:val="24"/>
          <w:szCs w:val="24"/>
        </w:rPr>
        <w:t>4</w:t>
      </w:r>
      <w:r w:rsidRPr="00E028D3">
        <w:rPr>
          <w:rFonts w:ascii="Times New Roman" w:eastAsia="Times New Roman" w:hAnsi="Times New Roman" w:cs="Times New Roman"/>
          <w:b/>
          <w:caps/>
          <w:sz w:val="24"/>
          <w:szCs w:val="24"/>
        </w:rPr>
        <w:t>-</w:t>
      </w:r>
      <w:r w:rsidR="00E028D3" w:rsidRPr="00E028D3">
        <w:rPr>
          <w:rFonts w:ascii="Times New Roman" w:eastAsia="Times New Roman" w:hAnsi="Times New Roman" w:cs="Times New Roman"/>
          <w:b/>
          <w:caps/>
          <w:sz w:val="24"/>
          <w:szCs w:val="24"/>
        </w:rPr>
        <w:t>1</w:t>
      </w:r>
      <w:r w:rsidR="00143789">
        <w:rPr>
          <w:rFonts w:ascii="Times New Roman" w:eastAsia="Times New Roman" w:hAnsi="Times New Roman" w:cs="Times New Roman"/>
          <w:b/>
          <w:caps/>
          <w:sz w:val="24"/>
          <w:szCs w:val="24"/>
        </w:rPr>
        <w:t>766</w:t>
      </w:r>
      <w:r w:rsidR="00F82812">
        <w:rPr>
          <w:rFonts w:ascii="Times New Roman" w:eastAsia="Times New Roman" w:hAnsi="Times New Roman" w:cs="Times New Roman"/>
          <w:b/>
          <w:caps/>
          <w:sz w:val="24"/>
          <w:szCs w:val="24"/>
        </w:rPr>
        <w:t>7</w:t>
      </w:r>
    </w:p>
    <w:p w14:paraId="6C07F554" w14:textId="6C10448A" w:rsidR="00B1103F" w:rsidRPr="00E028D3" w:rsidRDefault="00B1103F" w:rsidP="00B1103F">
      <w:pPr>
        <w:spacing w:after="0" w:line="240" w:lineRule="auto"/>
        <w:jc w:val="center"/>
        <w:rPr>
          <w:rFonts w:ascii="Times New Roman" w:eastAsia="Times New Roman" w:hAnsi="Times New Roman" w:cs="Times New Roman"/>
          <w:b/>
          <w:caps/>
          <w:sz w:val="24"/>
          <w:szCs w:val="24"/>
        </w:rPr>
      </w:pPr>
      <w:r w:rsidRPr="00E028D3">
        <w:rPr>
          <w:rFonts w:ascii="Times New Roman" w:eastAsia="Times New Roman" w:hAnsi="Times New Roman" w:cs="Times New Roman"/>
          <w:b/>
          <w:caps/>
          <w:sz w:val="24"/>
          <w:szCs w:val="24"/>
        </w:rPr>
        <w:t>PUC DOCKET NO. 5</w:t>
      </w:r>
      <w:r w:rsidR="00143789">
        <w:rPr>
          <w:rFonts w:ascii="Times New Roman" w:eastAsia="Times New Roman" w:hAnsi="Times New Roman" w:cs="Times New Roman"/>
          <w:b/>
          <w:caps/>
          <w:sz w:val="24"/>
          <w:szCs w:val="24"/>
        </w:rPr>
        <w:t>65</w:t>
      </w:r>
      <w:r w:rsidR="00F82812">
        <w:rPr>
          <w:rFonts w:ascii="Times New Roman" w:eastAsia="Times New Roman" w:hAnsi="Times New Roman" w:cs="Times New Roman"/>
          <w:b/>
          <w:caps/>
          <w:sz w:val="24"/>
          <w:szCs w:val="24"/>
        </w:rPr>
        <w:t>44</w:t>
      </w:r>
    </w:p>
    <w:bookmarkEnd w:id="0"/>
    <w:p w14:paraId="39D0B508" w14:textId="77777777" w:rsidR="007204E7" w:rsidRPr="00E028D3" w:rsidRDefault="007204E7" w:rsidP="007204E7">
      <w:pPr>
        <w:spacing w:after="0" w:line="240" w:lineRule="auto"/>
        <w:jc w:val="center"/>
        <w:rPr>
          <w:rFonts w:ascii="Times New Roman" w:eastAsia="Times New Roman" w:hAnsi="Times New Roman" w:cs="Times New Roman"/>
          <w:b/>
          <w:sz w:val="24"/>
          <w:szCs w:val="20"/>
          <w:highlight w:val="yellow"/>
        </w:rPr>
      </w:pPr>
    </w:p>
    <w:tbl>
      <w:tblPr>
        <w:tblW w:w="9533" w:type="dxa"/>
        <w:tblLook w:val="01E0" w:firstRow="1" w:lastRow="1" w:firstColumn="1" w:lastColumn="1" w:noHBand="0" w:noVBand="0"/>
      </w:tblPr>
      <w:tblGrid>
        <w:gridCol w:w="4230"/>
        <w:gridCol w:w="990"/>
        <w:gridCol w:w="4313"/>
      </w:tblGrid>
      <w:tr w:rsidR="00FE6A09" w:rsidRPr="00E028D3" w14:paraId="50538726" w14:textId="77777777" w:rsidTr="00F82812">
        <w:trPr>
          <w:trHeight w:val="1130"/>
        </w:trPr>
        <w:tc>
          <w:tcPr>
            <w:tcW w:w="4230" w:type="dxa"/>
          </w:tcPr>
          <w:bookmarkEnd w:id="1"/>
          <w:p w14:paraId="673BFF5D" w14:textId="24D46259" w:rsidR="00FE6A09" w:rsidRPr="00595BCE" w:rsidRDefault="00FE6A09" w:rsidP="00FE6A09">
            <w:pPr>
              <w:spacing w:after="0" w:line="240" w:lineRule="auto"/>
              <w:rPr>
                <w:rFonts w:ascii="Times New Roman" w:eastAsia="Times New Roman" w:hAnsi="Times New Roman" w:cs="Times New Roman"/>
                <w:b/>
                <w:iCs/>
                <w:caps/>
                <w:sz w:val="24"/>
                <w:szCs w:val="20"/>
              </w:rPr>
            </w:pPr>
            <w:r w:rsidRPr="00595BCE">
              <w:rPr>
                <w:rFonts w:ascii="Times New Roman" w:eastAsia="Times New Roman" w:hAnsi="Times New Roman" w:cs="Times New Roman"/>
                <w:b/>
                <w:iCs/>
                <w:sz w:val="24"/>
                <w:szCs w:val="20"/>
              </w:rPr>
              <w:t xml:space="preserve">APPLICATION OF </w:t>
            </w:r>
            <w:r w:rsidR="00F82812">
              <w:rPr>
                <w:rFonts w:ascii="Times New Roman" w:eastAsia="Times New Roman" w:hAnsi="Times New Roman" w:cs="Times New Roman"/>
                <w:b/>
                <w:iCs/>
                <w:sz w:val="24"/>
                <w:szCs w:val="20"/>
              </w:rPr>
              <w:t>ENTERGY TEXAS, INC.</w:t>
            </w:r>
            <w:r w:rsidRPr="00595BCE">
              <w:rPr>
                <w:rFonts w:ascii="Times New Roman" w:eastAsia="Times New Roman" w:hAnsi="Times New Roman" w:cs="Times New Roman"/>
                <w:b/>
                <w:iCs/>
                <w:sz w:val="24"/>
                <w:szCs w:val="20"/>
              </w:rPr>
              <w:t xml:space="preserve"> TO ADJUST ITS ENERGY EFFICIENCY COST RECOVERY FACTOR</w:t>
            </w:r>
          </w:p>
        </w:tc>
        <w:tc>
          <w:tcPr>
            <w:tcW w:w="990" w:type="dxa"/>
            <w:noWrap/>
          </w:tcPr>
          <w:p w14:paraId="03C072D9" w14:textId="77777777" w:rsidR="00FE6A09" w:rsidRPr="00595BCE" w:rsidRDefault="00FE6A09"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p w14:paraId="09029D11" w14:textId="77777777" w:rsidR="00FE6A09" w:rsidRPr="00595BCE" w:rsidRDefault="00FE6A09"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p w14:paraId="233B7441" w14:textId="2A0E7FF6" w:rsidR="00FE6A09" w:rsidRPr="00595BCE" w:rsidRDefault="00FE6A09"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p w14:paraId="576A5B8E" w14:textId="3AE7A187" w:rsidR="004F2552" w:rsidRPr="00595BCE" w:rsidRDefault="004F2552"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tc>
        <w:tc>
          <w:tcPr>
            <w:tcW w:w="4313" w:type="dxa"/>
          </w:tcPr>
          <w:p w14:paraId="5F8C341F" w14:textId="77777777" w:rsidR="00FE6A09" w:rsidRPr="00595BCE" w:rsidRDefault="00FE6A09" w:rsidP="00FE6A09">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595BCE">
              <w:rPr>
                <w:rFonts w:ascii="Times New Roman" w:eastAsia="Times New Roman" w:hAnsi="Times New Roman" w:cs="Times New Roman"/>
                <w:b/>
                <w:bCs/>
                <w:caps/>
                <w:sz w:val="24"/>
                <w:szCs w:val="20"/>
              </w:rPr>
              <w:t>BEFORE THE STATE OFFICE</w:t>
            </w:r>
          </w:p>
          <w:p w14:paraId="5E0C1F1D" w14:textId="77777777" w:rsidR="00FE6A09" w:rsidRPr="00595BCE" w:rsidRDefault="00FE6A09" w:rsidP="00FE6A09">
            <w:pPr>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F8C40C8" w14:textId="77777777" w:rsidR="004F2552" w:rsidRPr="00595BCE" w:rsidRDefault="00FE6A09" w:rsidP="00FE6A09">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595BCE">
              <w:rPr>
                <w:rFonts w:ascii="Times New Roman" w:eastAsia="Times New Roman" w:hAnsi="Times New Roman" w:cs="Times New Roman"/>
                <w:b/>
                <w:bCs/>
                <w:caps/>
                <w:sz w:val="24"/>
                <w:szCs w:val="20"/>
              </w:rPr>
              <w:t>OF</w:t>
            </w:r>
          </w:p>
          <w:p w14:paraId="070CEEBB" w14:textId="77777777" w:rsidR="004F2552" w:rsidRPr="00595BCE" w:rsidRDefault="004F2552" w:rsidP="00FE6A09">
            <w:pPr>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8B9F0B1" w14:textId="4157AAB9" w:rsidR="00FE6A09" w:rsidRPr="00595BCE" w:rsidRDefault="00FE6A09" w:rsidP="00FE6A09">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595BCE">
              <w:rPr>
                <w:rFonts w:ascii="Times New Roman" w:eastAsia="Times New Roman" w:hAnsi="Times New Roman" w:cs="Times New Roman"/>
                <w:b/>
                <w:bCs/>
                <w:caps/>
                <w:sz w:val="24"/>
                <w:szCs w:val="20"/>
              </w:rPr>
              <w:t>ADMINISTRATIVE HEARINGS</w:t>
            </w:r>
          </w:p>
        </w:tc>
      </w:tr>
    </w:tbl>
    <w:p w14:paraId="2F749645" w14:textId="77777777" w:rsidR="00FE6A09" w:rsidRPr="00E028D3" w:rsidRDefault="00FE6A09" w:rsidP="00FE6A09">
      <w:pPr>
        <w:spacing w:after="0" w:line="240" w:lineRule="auto"/>
        <w:jc w:val="center"/>
        <w:rPr>
          <w:rFonts w:ascii="Times New Roman" w:eastAsia="Times New Roman" w:hAnsi="Times New Roman" w:cs="Times New Roman"/>
          <w:b/>
          <w:caps/>
          <w:sz w:val="24"/>
          <w:szCs w:val="24"/>
          <w:highlight w:val="yellow"/>
        </w:rPr>
      </w:pPr>
    </w:p>
    <w:p w14:paraId="0727D6A4" w14:textId="77777777" w:rsidR="005E3EE0" w:rsidRPr="008D2129" w:rsidRDefault="007204E7" w:rsidP="00491009">
      <w:pPr>
        <w:keepNext/>
        <w:spacing w:after="0" w:line="240" w:lineRule="auto"/>
        <w:jc w:val="center"/>
        <w:rPr>
          <w:rFonts w:ascii="Times New Roman" w:eastAsia="Times New Roman" w:hAnsi="Times New Roman" w:cs="Times New Roman"/>
          <w:b/>
          <w:caps/>
          <w:sz w:val="24"/>
          <w:szCs w:val="24"/>
        </w:rPr>
      </w:pPr>
      <w:r w:rsidRPr="008D2129">
        <w:rPr>
          <w:rFonts w:ascii="Times New Roman" w:eastAsia="Times New Roman" w:hAnsi="Times New Roman" w:cs="Times New Roman"/>
          <w:b/>
          <w:caps/>
          <w:sz w:val="24"/>
          <w:szCs w:val="24"/>
        </w:rPr>
        <w:t xml:space="preserve">COMMISSION STAFF’S </w:t>
      </w:r>
      <w:r w:rsidR="00842854" w:rsidRPr="008D2129">
        <w:rPr>
          <w:rFonts w:ascii="Times New Roman" w:eastAsia="Times New Roman" w:hAnsi="Times New Roman" w:cs="Times New Roman"/>
          <w:b/>
          <w:caps/>
          <w:sz w:val="24"/>
          <w:szCs w:val="24"/>
        </w:rPr>
        <w:t xml:space="preserve">recommendation on sufficiency of notice </w:t>
      </w:r>
    </w:p>
    <w:p w14:paraId="3D7C8E89" w14:textId="628E4632" w:rsidR="007204E7" w:rsidRPr="008D2129" w:rsidRDefault="00842854" w:rsidP="00B82444">
      <w:pPr>
        <w:keepNext/>
        <w:spacing w:after="240" w:line="240" w:lineRule="auto"/>
        <w:jc w:val="center"/>
        <w:rPr>
          <w:rFonts w:ascii="Times New Roman" w:eastAsia="Times New Roman" w:hAnsi="Times New Roman" w:cs="Times New Roman"/>
          <w:b/>
          <w:caps/>
          <w:sz w:val="24"/>
          <w:szCs w:val="24"/>
        </w:rPr>
      </w:pPr>
      <w:r w:rsidRPr="008D2129">
        <w:rPr>
          <w:rFonts w:ascii="Times New Roman" w:eastAsia="Times New Roman" w:hAnsi="Times New Roman" w:cs="Times New Roman"/>
          <w:b/>
          <w:caps/>
          <w:sz w:val="24"/>
          <w:szCs w:val="24"/>
        </w:rPr>
        <w:t>and application</w:t>
      </w:r>
    </w:p>
    <w:p w14:paraId="650652A0" w14:textId="1EDF3FDC" w:rsidR="000138C3" w:rsidRDefault="00AB1D98" w:rsidP="000138C3">
      <w:pPr>
        <w:pStyle w:val="ListBullet"/>
        <w:rPr>
          <w:highlight w:val="yellow"/>
        </w:rPr>
      </w:pPr>
      <w:r w:rsidRPr="008D2129">
        <w:t xml:space="preserve">On </w:t>
      </w:r>
      <w:r w:rsidR="008D2129" w:rsidRPr="008D2129">
        <w:t>May 1</w:t>
      </w:r>
      <w:r w:rsidR="00842854" w:rsidRPr="008D2129">
        <w:t>, 202</w:t>
      </w:r>
      <w:r w:rsidR="00143789">
        <w:t>4</w:t>
      </w:r>
      <w:r w:rsidR="00842854" w:rsidRPr="008D2129">
        <w:t xml:space="preserve">, </w:t>
      </w:r>
      <w:r w:rsidR="00F82812">
        <w:t>Entergy Texas, Inc.</w:t>
      </w:r>
      <w:r w:rsidR="00842854" w:rsidRPr="00EB13E2">
        <w:t xml:space="preserve"> (</w:t>
      </w:r>
      <w:r w:rsidR="00F82812">
        <w:t>ETI</w:t>
      </w:r>
      <w:r w:rsidR="00842854" w:rsidRPr="00EB13E2">
        <w:t xml:space="preserve">) filed an application to adjust its energy-efficiency cost recovery factor (EECRF) </w:t>
      </w:r>
      <w:r w:rsidR="000138C3">
        <w:t xml:space="preserve">and related relief </w:t>
      </w:r>
      <w:r w:rsidR="00842854" w:rsidRPr="00EB13E2">
        <w:t xml:space="preserve">for program year </w:t>
      </w:r>
      <w:r w:rsidR="00AC0DF4" w:rsidRPr="00EB13E2">
        <w:t>202</w:t>
      </w:r>
      <w:r w:rsidR="00143789">
        <w:t>5</w:t>
      </w:r>
      <w:r w:rsidR="00842854" w:rsidRPr="00EB13E2">
        <w:t xml:space="preserve"> </w:t>
      </w:r>
      <w:r w:rsidR="000138C3">
        <w:t>in accordance with</w:t>
      </w:r>
      <w:r w:rsidR="00842854" w:rsidRPr="00EB13E2">
        <w:t xml:space="preserve"> Public Utility Regulatory Act (PURA)</w:t>
      </w:r>
      <w:r w:rsidR="00842854" w:rsidRPr="00EB13E2">
        <w:rPr>
          <w:rStyle w:val="FootnoteReference"/>
        </w:rPr>
        <w:footnoteReference w:id="1"/>
      </w:r>
      <w:r w:rsidR="005E3EE0" w:rsidRPr="00EB13E2">
        <w:t xml:space="preserve"> § 39.905</w:t>
      </w:r>
      <w:r w:rsidR="000138C3">
        <w:t xml:space="preserve"> and 16 Texas Administrative Code (TAC) § 25.182.</w:t>
      </w:r>
    </w:p>
    <w:p w14:paraId="3D5F19FB" w14:textId="77E32F0E" w:rsidR="006F742C" w:rsidRPr="00E028D3" w:rsidRDefault="006F742C" w:rsidP="009E68E9">
      <w:pPr>
        <w:pStyle w:val="ListBullet"/>
        <w:rPr>
          <w:highlight w:val="yellow"/>
        </w:rPr>
      </w:pPr>
      <w:r w:rsidRPr="007B1C31">
        <w:t xml:space="preserve">On </w:t>
      </w:r>
      <w:r w:rsidR="00251644" w:rsidRPr="007B1C31">
        <w:t xml:space="preserve">May </w:t>
      </w:r>
      <w:r w:rsidR="007B1C31" w:rsidRPr="007B1C31">
        <w:t>6</w:t>
      </w:r>
      <w:r w:rsidRPr="007B1C31">
        <w:t>, 202</w:t>
      </w:r>
      <w:r w:rsidR="00143789">
        <w:t>4</w:t>
      </w:r>
      <w:r w:rsidRPr="007B1C31">
        <w:t xml:space="preserve">, the </w:t>
      </w:r>
      <w:r w:rsidR="000138C3" w:rsidRPr="002230AB">
        <w:t>State Office of Administrative Hearings (SOAH)</w:t>
      </w:r>
      <w:r w:rsidR="000138C3">
        <w:t xml:space="preserve"> </w:t>
      </w:r>
      <w:r w:rsidRPr="007B1C31">
        <w:t>administrative law judge (ALJ) filed</w:t>
      </w:r>
      <w:r w:rsidR="00842854" w:rsidRPr="007B1C31">
        <w:t xml:space="preserve"> </w:t>
      </w:r>
      <w:r w:rsidR="005E3EE0" w:rsidRPr="007B1C31">
        <w:t xml:space="preserve">SOAH </w:t>
      </w:r>
      <w:r w:rsidRPr="007B1C31">
        <w:t>Order</w:t>
      </w:r>
      <w:r w:rsidR="005E3EE0" w:rsidRPr="007B1C31">
        <w:t xml:space="preserve"> No. 1</w:t>
      </w:r>
      <w:r w:rsidRPr="007B1C31">
        <w:t xml:space="preserve">, </w:t>
      </w:r>
      <w:r w:rsidRPr="00B21D7A">
        <w:t xml:space="preserve">requiring </w:t>
      </w:r>
      <w:r w:rsidR="009E68E9" w:rsidRPr="00B21D7A">
        <w:t>the S</w:t>
      </w:r>
      <w:r w:rsidRPr="00B21D7A">
        <w:t>taff</w:t>
      </w:r>
      <w:r w:rsidR="009E68E9" w:rsidRPr="00B21D7A">
        <w:t xml:space="preserve"> </w:t>
      </w:r>
      <w:r w:rsidR="00251644" w:rsidRPr="00531282">
        <w:t xml:space="preserve">(Staff) </w:t>
      </w:r>
      <w:r w:rsidR="009E68E9" w:rsidRPr="00531282">
        <w:t>of the Public Utility Commission of Texas</w:t>
      </w:r>
      <w:r w:rsidR="007B1C31" w:rsidRPr="00531282">
        <w:t xml:space="preserve"> (Commission)</w:t>
      </w:r>
      <w:r w:rsidR="009E68E9" w:rsidRPr="00531282">
        <w:t xml:space="preserve"> </w:t>
      </w:r>
      <w:r w:rsidRPr="00531282">
        <w:t xml:space="preserve">to </w:t>
      </w:r>
      <w:r w:rsidR="000138C3">
        <w:t>file</w:t>
      </w:r>
      <w:r w:rsidR="00842854" w:rsidRPr="00531282">
        <w:t xml:space="preserve"> comments on </w:t>
      </w:r>
      <w:r w:rsidR="000138C3">
        <w:t>the sufficiency of ETI’s application and notice</w:t>
      </w:r>
      <w:r w:rsidR="00842854" w:rsidRPr="00531282">
        <w:t xml:space="preserve"> </w:t>
      </w:r>
      <w:r w:rsidR="00F82812">
        <w:t xml:space="preserve">no later than noon </w:t>
      </w:r>
      <w:r w:rsidR="00842854" w:rsidRPr="00531282">
        <w:t xml:space="preserve">on </w:t>
      </w:r>
      <w:r w:rsidR="00531282" w:rsidRPr="00531282">
        <w:t xml:space="preserve">May </w:t>
      </w:r>
      <w:r w:rsidR="00143789">
        <w:t>1</w:t>
      </w:r>
      <w:r w:rsidR="00F82812">
        <w:t>7</w:t>
      </w:r>
      <w:r w:rsidR="00842854" w:rsidRPr="00531282">
        <w:t>, 202</w:t>
      </w:r>
      <w:r w:rsidR="00143789">
        <w:t>4</w:t>
      </w:r>
      <w:r w:rsidRPr="00531282">
        <w:t>. Therefore, this pleading is timely filed.</w:t>
      </w:r>
    </w:p>
    <w:p w14:paraId="268AAC49" w14:textId="6FCE4A99" w:rsidR="00841929" w:rsidRPr="005A2ACA" w:rsidRDefault="000B3B74" w:rsidP="00143789">
      <w:pPr>
        <w:pStyle w:val="ListParagraph"/>
        <w:numPr>
          <w:ilvl w:val="0"/>
          <w:numId w:val="1"/>
        </w:numPr>
        <w:spacing w:before="120" w:after="120" w:line="360" w:lineRule="auto"/>
        <w:contextualSpacing w:val="0"/>
        <w:jc w:val="center"/>
        <w:rPr>
          <w:rFonts w:ascii="Times New Roman" w:hAnsi="Times New Roman"/>
          <w:b/>
          <w:caps/>
          <w:sz w:val="24"/>
          <w:szCs w:val="24"/>
        </w:rPr>
      </w:pPr>
      <w:bookmarkStart w:id="2" w:name="_Hlk51836154"/>
      <w:r w:rsidRPr="005A2ACA">
        <w:rPr>
          <w:rFonts w:ascii="Times New Roman" w:hAnsi="Times New Roman"/>
          <w:b/>
          <w:caps/>
          <w:sz w:val="24"/>
          <w:szCs w:val="24"/>
        </w:rPr>
        <w:t>RECOMMENDATION ON SUFFICIENCY</w:t>
      </w:r>
      <w:r w:rsidR="00BD1160" w:rsidRPr="005A2ACA">
        <w:rPr>
          <w:rFonts w:ascii="Times New Roman" w:hAnsi="Times New Roman"/>
          <w:b/>
          <w:caps/>
          <w:sz w:val="24"/>
          <w:szCs w:val="24"/>
        </w:rPr>
        <w:t xml:space="preserve"> </w:t>
      </w:r>
    </w:p>
    <w:bookmarkEnd w:id="2"/>
    <w:p w14:paraId="17D368B0" w14:textId="0755D7CC" w:rsidR="000138C3" w:rsidRPr="000138C3" w:rsidRDefault="000138C3" w:rsidP="000138C3">
      <w:pPr>
        <w:spacing w:after="0" w:line="360" w:lineRule="auto"/>
        <w:ind w:firstLine="360"/>
        <w:jc w:val="both"/>
        <w:rPr>
          <w:rFonts w:ascii="Times New Roman" w:eastAsia="Times New Roman" w:hAnsi="Times New Roman"/>
          <w:sz w:val="24"/>
          <w:szCs w:val="24"/>
          <w:highlight w:val="yellow"/>
        </w:rPr>
      </w:pPr>
      <w:r w:rsidRPr="000138C3">
        <w:rPr>
          <w:rFonts w:ascii="Times New Roman" w:hAnsi="Times New Roman"/>
          <w:sz w:val="24"/>
          <w:szCs w:val="24"/>
        </w:rPr>
        <w:t xml:space="preserve">Staff has reviewed the </w:t>
      </w:r>
      <w:r>
        <w:rPr>
          <w:rFonts w:ascii="Times New Roman" w:hAnsi="Times New Roman"/>
          <w:sz w:val="24"/>
          <w:szCs w:val="24"/>
        </w:rPr>
        <w:t>application</w:t>
      </w:r>
      <w:r w:rsidRPr="000138C3">
        <w:rPr>
          <w:rFonts w:ascii="Times New Roman" w:hAnsi="Times New Roman"/>
          <w:sz w:val="24"/>
          <w:szCs w:val="24"/>
        </w:rPr>
        <w:t xml:space="preserve"> and has not identified any deficiencies. This recommendation does not address the merits of the </w:t>
      </w:r>
      <w:r>
        <w:rPr>
          <w:rFonts w:ascii="Times New Roman" w:hAnsi="Times New Roman"/>
          <w:sz w:val="24"/>
          <w:szCs w:val="24"/>
        </w:rPr>
        <w:t>a</w:t>
      </w:r>
      <w:r w:rsidRPr="000138C3">
        <w:rPr>
          <w:rFonts w:ascii="Times New Roman" w:hAnsi="Times New Roman"/>
          <w:sz w:val="24"/>
          <w:szCs w:val="24"/>
        </w:rPr>
        <w:t>pplication.</w:t>
      </w:r>
      <w:r w:rsidRPr="000138C3">
        <w:rPr>
          <w:rFonts w:ascii="Times New Roman" w:eastAsia="Times New Roman" w:hAnsi="Times New Roman"/>
          <w:sz w:val="24"/>
          <w:szCs w:val="24"/>
        </w:rPr>
        <w:t xml:space="preserve"> </w:t>
      </w:r>
    </w:p>
    <w:p w14:paraId="6B368261" w14:textId="6D0EE75A" w:rsidR="00D62324" w:rsidRDefault="000138C3" w:rsidP="00143789">
      <w:pPr>
        <w:pStyle w:val="ListParagraph"/>
        <w:numPr>
          <w:ilvl w:val="0"/>
          <w:numId w:val="1"/>
        </w:numPr>
        <w:spacing w:before="120" w:after="120" w:line="360" w:lineRule="auto"/>
        <w:contextualSpacing w:val="0"/>
        <w:jc w:val="center"/>
        <w:rPr>
          <w:rFonts w:ascii="Times New Roman" w:hAnsi="Times New Roman"/>
          <w:b/>
          <w:caps/>
          <w:sz w:val="24"/>
          <w:szCs w:val="24"/>
        </w:rPr>
      </w:pPr>
      <w:r>
        <w:rPr>
          <w:rFonts w:ascii="Times New Roman" w:hAnsi="Times New Roman"/>
          <w:b/>
          <w:caps/>
          <w:sz w:val="24"/>
          <w:szCs w:val="24"/>
        </w:rPr>
        <w:t>RECOMMENDATION ON NOTICE</w:t>
      </w:r>
    </w:p>
    <w:p w14:paraId="2B16287E" w14:textId="09CF46DD" w:rsidR="000138C3" w:rsidRPr="00842D5F" w:rsidRDefault="000138C3" w:rsidP="000138C3">
      <w:pPr>
        <w:spacing w:after="0" w:line="360" w:lineRule="auto"/>
        <w:ind w:firstLine="360"/>
        <w:jc w:val="both"/>
        <w:rPr>
          <w:rFonts w:ascii="Times New Roman" w:eastAsia="Times New Roman" w:hAnsi="Times New Roman"/>
          <w:sz w:val="24"/>
          <w:szCs w:val="24"/>
        </w:rPr>
      </w:pPr>
      <w:r w:rsidRPr="00842D5F">
        <w:rPr>
          <w:rFonts w:ascii="Times New Roman" w:eastAsia="Times New Roman" w:hAnsi="Times New Roman"/>
          <w:sz w:val="24"/>
          <w:szCs w:val="24"/>
        </w:rPr>
        <w:t xml:space="preserve">Staff has reviewed the proposed notice filed by ETI and recommends that ETI’s notice </w:t>
      </w:r>
      <w:r w:rsidR="00842D5F" w:rsidRPr="00842D5F">
        <w:rPr>
          <w:rFonts w:ascii="Times New Roman" w:eastAsia="Times New Roman" w:hAnsi="Times New Roman"/>
          <w:sz w:val="24"/>
          <w:szCs w:val="24"/>
        </w:rPr>
        <w:t>satisfies</w:t>
      </w:r>
      <w:r w:rsidRPr="00842D5F">
        <w:rPr>
          <w:rFonts w:ascii="Times New Roman" w:eastAsia="Times New Roman" w:hAnsi="Times New Roman"/>
          <w:sz w:val="24"/>
          <w:szCs w:val="24"/>
        </w:rPr>
        <w:t xml:space="preserve"> the requirements </w:t>
      </w:r>
      <w:r w:rsidR="00842D5F">
        <w:rPr>
          <w:rFonts w:ascii="Times New Roman" w:eastAsia="Times New Roman" w:hAnsi="Times New Roman"/>
          <w:sz w:val="24"/>
          <w:szCs w:val="24"/>
        </w:rPr>
        <w:t>under</w:t>
      </w:r>
      <w:r w:rsidRPr="00842D5F">
        <w:rPr>
          <w:rFonts w:ascii="Times New Roman" w:eastAsia="Times New Roman" w:hAnsi="Times New Roman"/>
          <w:sz w:val="24"/>
          <w:szCs w:val="24"/>
        </w:rPr>
        <w:t xml:space="preserve"> 16 Texas Administrative Code (TAC) § 25.182(d)(13). In accordance with 16 TAC § 25.182(d)(13), ETI proposed to provide notice to: (1) all parties of record to ETI’s most recently completed EECRF docket, Docket No. 56544; (2) all retail electric providers (REPs) in ETI’s service area at the time the EECRF application was filed; (3) all parties that participated in ETI’s most recent base rate case, Docket No. 51415; and (4) the state agency that administers the federal weatherization program,</w:t>
      </w:r>
      <w:r w:rsidRPr="00842D5F">
        <w:t xml:space="preserve"> </w:t>
      </w:r>
      <w:r w:rsidRPr="00842D5F">
        <w:rPr>
          <w:rFonts w:ascii="Times New Roman" w:eastAsia="Times New Roman" w:hAnsi="Times New Roman"/>
          <w:sz w:val="24"/>
          <w:szCs w:val="24"/>
        </w:rPr>
        <w:t xml:space="preserve">which is the Texas Department of Housing and Community Affairs (TDHCA). The proposed form of notice included in ETI’s application satisfies 16 TAC § 25.182(d)(13), which describes reasonable notice as “a general description of the application and </w:t>
      </w:r>
      <w:r w:rsidRPr="00842D5F">
        <w:rPr>
          <w:rFonts w:ascii="Times New Roman" w:eastAsia="Times New Roman" w:hAnsi="Times New Roman"/>
          <w:sz w:val="24"/>
          <w:szCs w:val="24"/>
        </w:rPr>
        <w:lastRenderedPageBreak/>
        <w:t>the docket number assigned to the application.”</w:t>
      </w:r>
      <w:r w:rsidRPr="00842D5F">
        <w:rPr>
          <w:rStyle w:val="FootnoteReference"/>
          <w:rFonts w:ascii="Times New Roman" w:eastAsia="Times New Roman" w:hAnsi="Times New Roman" w:cs="Times New Roman"/>
          <w:sz w:val="24"/>
          <w:szCs w:val="24"/>
        </w:rPr>
        <w:t xml:space="preserve"> </w:t>
      </w:r>
      <w:r w:rsidR="003B3CD5">
        <w:rPr>
          <w:rFonts w:ascii="Times New Roman" w:eastAsia="Times New Roman" w:hAnsi="Times New Roman" w:cs="Times New Roman"/>
          <w:sz w:val="24"/>
          <w:szCs w:val="24"/>
        </w:rPr>
        <w:t xml:space="preserve"> Staff notes that there are no REPs authorized to provide service in ETI’s service area, so no REPs were served with notice. </w:t>
      </w:r>
    </w:p>
    <w:p w14:paraId="670AF998" w14:textId="1FB03D18" w:rsidR="000138C3" w:rsidRPr="003B3CD5" w:rsidRDefault="000138C3" w:rsidP="003B3CD5">
      <w:pPr>
        <w:spacing w:after="0" w:line="360" w:lineRule="auto"/>
        <w:ind w:firstLine="360"/>
        <w:jc w:val="both"/>
        <w:rPr>
          <w:rFonts w:ascii="Times New Roman" w:eastAsia="Times New Roman" w:hAnsi="Times New Roman"/>
          <w:sz w:val="24"/>
          <w:szCs w:val="24"/>
        </w:rPr>
      </w:pPr>
      <w:r w:rsidRPr="00842D5F">
        <w:rPr>
          <w:rFonts w:ascii="Times New Roman" w:eastAsia="Times New Roman" w:hAnsi="Times New Roman"/>
          <w:sz w:val="24"/>
          <w:szCs w:val="24"/>
        </w:rPr>
        <w:t xml:space="preserve">In addition, Staff reviewed the Affidavit of </w:t>
      </w:r>
      <w:r w:rsidR="003B3CD5">
        <w:rPr>
          <w:rFonts w:ascii="Times New Roman" w:eastAsia="Times New Roman" w:hAnsi="Times New Roman"/>
          <w:sz w:val="24"/>
          <w:szCs w:val="24"/>
        </w:rPr>
        <w:t>Panagiotis Papadakis</w:t>
      </w:r>
      <w:r w:rsidRPr="00842D5F">
        <w:rPr>
          <w:rFonts w:ascii="Times New Roman" w:eastAsia="Times New Roman" w:hAnsi="Times New Roman"/>
          <w:sz w:val="24"/>
          <w:szCs w:val="24"/>
        </w:rPr>
        <w:t xml:space="preserve"> filed by ETI on May 4, 2024, wherein ETI affirms that on May 1, 2024, it provided notice to (1) each party that participated in its last EECRF docket (Docket No. 54938), (2) all parties that participated in ETI’s most recent base-rate case (Docket No. </w:t>
      </w:r>
      <w:r w:rsidR="003B3CD5">
        <w:rPr>
          <w:rFonts w:ascii="Times New Roman" w:eastAsia="Times New Roman" w:hAnsi="Times New Roman"/>
          <w:sz w:val="24"/>
          <w:szCs w:val="24"/>
        </w:rPr>
        <w:t>53719</w:t>
      </w:r>
      <w:r w:rsidRPr="00842D5F">
        <w:rPr>
          <w:rFonts w:ascii="Times New Roman" w:eastAsia="Times New Roman" w:hAnsi="Times New Roman"/>
          <w:sz w:val="24"/>
          <w:szCs w:val="24"/>
        </w:rPr>
        <w:t xml:space="preserve">), and (3) the state agency that administers the federal weatherization program by electronic mail. </w:t>
      </w:r>
      <w:r w:rsidR="003B3CD5">
        <w:rPr>
          <w:rFonts w:ascii="Times New Roman" w:eastAsia="Times New Roman" w:hAnsi="Times New Roman"/>
          <w:sz w:val="24"/>
          <w:szCs w:val="24"/>
        </w:rPr>
        <w:t xml:space="preserve"> </w:t>
      </w:r>
      <w:r w:rsidRPr="00842D5F">
        <w:rPr>
          <w:rFonts w:ascii="Times New Roman" w:eastAsia="Times New Roman" w:hAnsi="Times New Roman"/>
          <w:sz w:val="24"/>
          <w:szCs w:val="24"/>
        </w:rPr>
        <w:t>Therefore, Staff recommends that ETI’s application and notice be found sufficient.</w:t>
      </w:r>
    </w:p>
    <w:p w14:paraId="6FD8161F" w14:textId="1593992D" w:rsidR="000138C3" w:rsidRPr="000055F2" w:rsidRDefault="000138C3" w:rsidP="00143789">
      <w:pPr>
        <w:pStyle w:val="ListParagraph"/>
        <w:numPr>
          <w:ilvl w:val="0"/>
          <w:numId w:val="1"/>
        </w:numPr>
        <w:spacing w:before="120" w:after="120" w:line="360" w:lineRule="auto"/>
        <w:contextualSpacing w:val="0"/>
        <w:jc w:val="center"/>
        <w:rPr>
          <w:rFonts w:ascii="Times New Roman" w:hAnsi="Times New Roman"/>
          <w:b/>
          <w:caps/>
          <w:sz w:val="24"/>
          <w:szCs w:val="24"/>
        </w:rPr>
      </w:pPr>
      <w:r>
        <w:rPr>
          <w:rFonts w:ascii="Times New Roman" w:hAnsi="Times New Roman"/>
          <w:b/>
          <w:caps/>
          <w:sz w:val="24"/>
          <w:szCs w:val="24"/>
        </w:rPr>
        <w:t>CONCLUSION</w:t>
      </w:r>
    </w:p>
    <w:p w14:paraId="16C0C508" w14:textId="20D9B649" w:rsidR="00841929" w:rsidRPr="000055F2" w:rsidRDefault="00841929">
      <w:pPr>
        <w:spacing w:after="0" w:line="360" w:lineRule="auto"/>
        <w:ind w:firstLine="720"/>
        <w:jc w:val="both"/>
        <w:rPr>
          <w:rFonts w:ascii="Times New Roman" w:eastAsia="Times New Roman" w:hAnsi="Times New Roman" w:cs="Times New Roman"/>
          <w:sz w:val="24"/>
          <w:szCs w:val="24"/>
        </w:rPr>
      </w:pPr>
      <w:r w:rsidRPr="000055F2">
        <w:rPr>
          <w:rFonts w:ascii="Times New Roman" w:eastAsia="Times New Roman" w:hAnsi="Times New Roman" w:cs="Times New Roman"/>
          <w:sz w:val="24"/>
          <w:szCs w:val="24"/>
        </w:rPr>
        <w:t xml:space="preserve">Staff respectfully requests the issuance of an order </w:t>
      </w:r>
      <w:r w:rsidR="00842854" w:rsidRPr="000055F2">
        <w:rPr>
          <w:rFonts w:ascii="Times New Roman" w:eastAsia="Times New Roman" w:hAnsi="Times New Roman" w:cs="Times New Roman"/>
          <w:sz w:val="24"/>
          <w:szCs w:val="24"/>
        </w:rPr>
        <w:t xml:space="preserve">finding </w:t>
      </w:r>
      <w:r w:rsidR="004B1821" w:rsidRPr="003B3CD5">
        <w:rPr>
          <w:rFonts w:ascii="Times New Roman" w:eastAsia="Times New Roman" w:hAnsi="Times New Roman" w:cs="Times New Roman"/>
          <w:sz w:val="24"/>
          <w:szCs w:val="24"/>
        </w:rPr>
        <w:t>ETI</w:t>
      </w:r>
      <w:r w:rsidR="000E5AFD" w:rsidRPr="003B3CD5">
        <w:rPr>
          <w:rFonts w:ascii="Times New Roman" w:eastAsia="Times New Roman" w:hAnsi="Times New Roman" w:cs="Times New Roman"/>
          <w:sz w:val="24"/>
          <w:szCs w:val="24"/>
        </w:rPr>
        <w:t>’</w:t>
      </w:r>
      <w:r w:rsidR="000E5AFD" w:rsidRPr="000055F2">
        <w:rPr>
          <w:rFonts w:ascii="Times New Roman" w:eastAsia="Times New Roman" w:hAnsi="Times New Roman" w:cs="Times New Roman"/>
          <w:sz w:val="24"/>
          <w:szCs w:val="24"/>
        </w:rPr>
        <w:t>s</w:t>
      </w:r>
      <w:r w:rsidR="00842854" w:rsidRPr="000055F2">
        <w:rPr>
          <w:rFonts w:ascii="Times New Roman" w:eastAsia="Times New Roman" w:hAnsi="Times New Roman" w:cs="Times New Roman"/>
          <w:sz w:val="24"/>
          <w:szCs w:val="24"/>
        </w:rPr>
        <w:t xml:space="preserve"> </w:t>
      </w:r>
      <w:r w:rsidR="00491009" w:rsidRPr="000055F2">
        <w:rPr>
          <w:rFonts w:ascii="Times New Roman" w:eastAsia="Times New Roman" w:hAnsi="Times New Roman" w:cs="Times New Roman"/>
          <w:sz w:val="24"/>
          <w:szCs w:val="24"/>
        </w:rPr>
        <w:t xml:space="preserve">application and </w:t>
      </w:r>
      <w:r w:rsidR="00D65BB8" w:rsidRPr="000055F2">
        <w:rPr>
          <w:rFonts w:ascii="Times New Roman" w:eastAsia="Times New Roman" w:hAnsi="Times New Roman" w:cs="Times New Roman"/>
          <w:sz w:val="24"/>
          <w:szCs w:val="24"/>
        </w:rPr>
        <w:t xml:space="preserve">the </w:t>
      </w:r>
      <w:r w:rsidR="00491009" w:rsidRPr="000055F2">
        <w:rPr>
          <w:rFonts w:ascii="Times New Roman" w:eastAsia="Times New Roman" w:hAnsi="Times New Roman" w:cs="Times New Roman"/>
          <w:sz w:val="24"/>
          <w:szCs w:val="24"/>
        </w:rPr>
        <w:t>form and proof of</w:t>
      </w:r>
      <w:r w:rsidR="00D65BB8" w:rsidRPr="000055F2">
        <w:rPr>
          <w:rFonts w:ascii="Times New Roman" w:eastAsia="Times New Roman" w:hAnsi="Times New Roman" w:cs="Times New Roman"/>
          <w:sz w:val="24"/>
          <w:szCs w:val="24"/>
        </w:rPr>
        <w:t xml:space="preserve"> its</w:t>
      </w:r>
      <w:r w:rsidR="00491009" w:rsidRPr="000055F2">
        <w:rPr>
          <w:rFonts w:ascii="Times New Roman" w:eastAsia="Times New Roman" w:hAnsi="Times New Roman" w:cs="Times New Roman"/>
          <w:sz w:val="24"/>
          <w:szCs w:val="24"/>
        </w:rPr>
        <w:t xml:space="preserve"> </w:t>
      </w:r>
      <w:r w:rsidR="00842854" w:rsidRPr="000055F2">
        <w:rPr>
          <w:rFonts w:ascii="Times New Roman" w:eastAsia="Times New Roman" w:hAnsi="Times New Roman" w:cs="Times New Roman"/>
          <w:sz w:val="24"/>
          <w:szCs w:val="24"/>
        </w:rPr>
        <w:t>notice sufficient</w:t>
      </w:r>
      <w:r w:rsidRPr="000055F2">
        <w:rPr>
          <w:rFonts w:ascii="Times New Roman" w:eastAsia="Times New Roman" w:hAnsi="Times New Roman" w:cs="Times New Roman"/>
          <w:sz w:val="24"/>
          <w:szCs w:val="24"/>
        </w:rPr>
        <w:t>.</w:t>
      </w:r>
    </w:p>
    <w:p w14:paraId="782E60D2" w14:textId="5B32CA9C" w:rsidR="00BF636B" w:rsidRDefault="00BF636B" w:rsidP="00330E75">
      <w:pPr>
        <w:spacing w:after="0" w:line="240" w:lineRule="auto"/>
        <w:rPr>
          <w:rFonts w:ascii="Times New Roman" w:eastAsia="Times New Roman" w:hAnsi="Times New Roman" w:cs="Times New Roman"/>
          <w:b/>
          <w:sz w:val="24"/>
          <w:szCs w:val="24"/>
          <w:highlight w:val="yellow"/>
        </w:rPr>
      </w:pPr>
    </w:p>
    <w:p w14:paraId="703407B3" w14:textId="53FBC21C" w:rsidR="00C03E59" w:rsidRPr="000055F2" w:rsidRDefault="00C03E59" w:rsidP="00330E75">
      <w:pPr>
        <w:spacing w:after="0" w:line="240" w:lineRule="auto"/>
        <w:jc w:val="both"/>
        <w:rPr>
          <w:rFonts w:ascii="Times New Roman" w:eastAsia="Times New Roman" w:hAnsi="Times New Roman" w:cs="Times New Roman"/>
          <w:sz w:val="24"/>
          <w:szCs w:val="24"/>
        </w:rPr>
      </w:pPr>
      <w:r w:rsidRPr="000055F2">
        <w:rPr>
          <w:rFonts w:ascii="Times New Roman" w:eastAsia="Times New Roman" w:hAnsi="Times New Roman" w:cs="Times New Roman"/>
          <w:sz w:val="24"/>
          <w:szCs w:val="24"/>
        </w:rPr>
        <w:t xml:space="preserve">Dated: </w:t>
      </w:r>
      <w:r w:rsidRPr="000055F2">
        <w:rPr>
          <w:rFonts w:ascii="Times New Roman" w:eastAsia="Times New Roman" w:hAnsi="Times New Roman" w:cs="Times New Roman"/>
          <w:sz w:val="24"/>
          <w:szCs w:val="24"/>
        </w:rPr>
        <w:fldChar w:fldCharType="begin"/>
      </w:r>
      <w:r w:rsidRPr="000055F2">
        <w:rPr>
          <w:rFonts w:ascii="Times New Roman" w:eastAsia="Times New Roman" w:hAnsi="Times New Roman" w:cs="Times New Roman"/>
          <w:sz w:val="24"/>
          <w:szCs w:val="24"/>
        </w:rPr>
        <w:instrText xml:space="preserve"> DATE \@ "MMMM d, yyyy" </w:instrText>
      </w:r>
      <w:r w:rsidRPr="000055F2">
        <w:rPr>
          <w:rFonts w:ascii="Times New Roman" w:eastAsia="Times New Roman" w:hAnsi="Times New Roman" w:cs="Times New Roman"/>
          <w:sz w:val="24"/>
          <w:szCs w:val="24"/>
        </w:rPr>
        <w:fldChar w:fldCharType="separate"/>
      </w:r>
      <w:r w:rsidR="00496879">
        <w:rPr>
          <w:rFonts w:ascii="Times New Roman" w:eastAsia="Times New Roman" w:hAnsi="Times New Roman" w:cs="Times New Roman"/>
          <w:noProof/>
          <w:sz w:val="24"/>
          <w:szCs w:val="24"/>
        </w:rPr>
        <w:t>May 17, 2024</w:t>
      </w:r>
      <w:r w:rsidRPr="000055F2">
        <w:rPr>
          <w:rFonts w:ascii="Times New Roman" w:eastAsia="Times New Roman" w:hAnsi="Times New Roman" w:cs="Times New Roman"/>
          <w:sz w:val="24"/>
          <w:szCs w:val="24"/>
        </w:rPr>
        <w:fldChar w:fldCharType="end"/>
      </w:r>
      <w:r w:rsidR="00B834E6" w:rsidRPr="000055F2">
        <w:rPr>
          <w:rFonts w:ascii="Times New Roman" w:eastAsia="Times New Roman" w:hAnsi="Times New Roman" w:cs="Times New Roman"/>
          <w:sz w:val="24"/>
          <w:szCs w:val="24"/>
        </w:rPr>
        <w:t xml:space="preserve"> </w:t>
      </w:r>
    </w:p>
    <w:p w14:paraId="1718540B" w14:textId="77777777" w:rsidR="00C03E59" w:rsidRPr="00E028D3" w:rsidRDefault="00C03E59" w:rsidP="00C03E59">
      <w:pPr>
        <w:spacing w:after="0" w:line="480" w:lineRule="auto"/>
        <w:ind w:left="3600" w:firstLine="720"/>
        <w:jc w:val="both"/>
        <w:rPr>
          <w:rFonts w:ascii="Times New Roman" w:eastAsia="Times New Roman" w:hAnsi="Times New Roman" w:cs="Times New Roman"/>
          <w:sz w:val="24"/>
          <w:szCs w:val="24"/>
          <w:highlight w:val="yellow"/>
        </w:rPr>
      </w:pPr>
    </w:p>
    <w:p w14:paraId="30D17E1B" w14:textId="77777777" w:rsidR="00751698" w:rsidRPr="000055F2" w:rsidRDefault="00751698" w:rsidP="00CD0F97">
      <w:pPr>
        <w:keepNext/>
        <w:spacing w:after="0" w:line="480" w:lineRule="auto"/>
        <w:ind w:left="4320"/>
        <w:jc w:val="both"/>
        <w:rPr>
          <w:rFonts w:ascii="Times New Roman" w:eastAsia="Times New Roman" w:hAnsi="Times New Roman" w:cs="Times New Roman"/>
          <w:sz w:val="24"/>
          <w:szCs w:val="20"/>
        </w:rPr>
      </w:pPr>
      <w:r w:rsidRPr="000055F2">
        <w:rPr>
          <w:rFonts w:ascii="Times New Roman" w:eastAsia="Times New Roman" w:hAnsi="Times New Roman" w:cs="Times New Roman"/>
          <w:sz w:val="24"/>
          <w:szCs w:val="20"/>
        </w:rPr>
        <w:t>Respectfully submitted,</w:t>
      </w:r>
    </w:p>
    <w:p w14:paraId="57FB823B" w14:textId="77777777" w:rsidR="008A1827" w:rsidRPr="000055F2" w:rsidRDefault="008A1827" w:rsidP="00CD0F97">
      <w:pPr>
        <w:keepNext/>
        <w:spacing w:after="0" w:line="240" w:lineRule="auto"/>
        <w:ind w:left="4320"/>
        <w:contextualSpacing/>
        <w:jc w:val="both"/>
        <w:rPr>
          <w:rFonts w:ascii="Times New Roman" w:eastAsia="Times New Roman" w:hAnsi="Times New Roman" w:cs="Times New Roman"/>
          <w:b/>
          <w:sz w:val="24"/>
          <w:szCs w:val="24"/>
        </w:rPr>
      </w:pPr>
      <w:r w:rsidRPr="000055F2">
        <w:rPr>
          <w:rFonts w:ascii="Times New Roman" w:eastAsia="Times New Roman" w:hAnsi="Times New Roman" w:cs="Times New Roman"/>
          <w:b/>
          <w:sz w:val="24"/>
          <w:szCs w:val="24"/>
        </w:rPr>
        <w:t xml:space="preserve">PUBLIC UTILITY COMMISSION OF TEXAS </w:t>
      </w:r>
    </w:p>
    <w:p w14:paraId="66BFF888" w14:textId="77777777" w:rsidR="008A1827" w:rsidRPr="000055F2" w:rsidRDefault="008A1827" w:rsidP="00CD0F97">
      <w:pPr>
        <w:keepNext/>
        <w:spacing w:after="0" w:line="240" w:lineRule="auto"/>
        <w:ind w:left="4320"/>
        <w:contextualSpacing/>
        <w:jc w:val="both"/>
        <w:rPr>
          <w:rFonts w:ascii="Times New Roman" w:eastAsia="Times New Roman" w:hAnsi="Times New Roman" w:cs="Times New Roman"/>
          <w:b/>
          <w:sz w:val="24"/>
          <w:szCs w:val="24"/>
        </w:rPr>
      </w:pPr>
      <w:r w:rsidRPr="000055F2">
        <w:rPr>
          <w:rFonts w:ascii="Times New Roman" w:eastAsia="Times New Roman" w:hAnsi="Times New Roman" w:cs="Times New Roman"/>
          <w:b/>
          <w:sz w:val="24"/>
          <w:szCs w:val="24"/>
        </w:rPr>
        <w:t>LEGAL DIVISION</w:t>
      </w:r>
    </w:p>
    <w:p w14:paraId="6DAE7735" w14:textId="77777777" w:rsidR="008A1827" w:rsidRPr="00E028D3" w:rsidRDefault="008A1827" w:rsidP="00CD0F97">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highlight w:val="yellow"/>
          <w:u w:val="single"/>
        </w:rPr>
      </w:pPr>
    </w:p>
    <w:p w14:paraId="30BBCE7A" w14:textId="77777777" w:rsidR="000055F2" w:rsidRPr="000055F2" w:rsidRDefault="000055F2" w:rsidP="000055F2">
      <w:pPr>
        <w:overflowPunct w:val="0"/>
        <w:autoSpaceDE w:val="0"/>
        <w:autoSpaceDN w:val="0"/>
        <w:adjustRightInd w:val="0"/>
        <w:spacing w:after="0" w:line="240" w:lineRule="auto"/>
        <w:ind w:left="4320"/>
        <w:textAlignment w:val="baseline"/>
        <w:rPr>
          <w:rFonts w:ascii="Times New Roman" w:eastAsia="Calibri" w:hAnsi="Times New Roman" w:cs="Times New Roman"/>
          <w:sz w:val="24"/>
          <w:szCs w:val="24"/>
        </w:rPr>
      </w:pPr>
      <w:r w:rsidRPr="000055F2">
        <w:rPr>
          <w:rFonts w:ascii="Times New Roman" w:eastAsia="Calibri" w:hAnsi="Times New Roman" w:cs="Times New Roman"/>
          <w:sz w:val="24"/>
          <w:szCs w:val="24"/>
        </w:rPr>
        <w:t>Marisa Lopez Wagley</w:t>
      </w:r>
    </w:p>
    <w:p w14:paraId="2FECE414" w14:textId="0A8EFA65" w:rsidR="000055F2" w:rsidRPr="000055F2" w:rsidRDefault="000055F2" w:rsidP="000055F2">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055F2">
        <w:rPr>
          <w:rFonts w:ascii="Times New Roman" w:eastAsia="Times New Roman" w:hAnsi="Times New Roman" w:cs="Times New Roman"/>
          <w:sz w:val="24"/>
          <w:szCs w:val="24"/>
        </w:rPr>
        <w:t>Division Director</w:t>
      </w:r>
    </w:p>
    <w:p w14:paraId="2DF6B13A" w14:textId="77777777" w:rsidR="000055F2" w:rsidRPr="000055F2" w:rsidRDefault="000055F2" w:rsidP="000055F2">
      <w:pPr>
        <w:keepNext/>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14:paraId="67DBC6F3" w14:textId="77777777" w:rsidR="00143789" w:rsidRPr="00143789" w:rsidRDefault="00143789" w:rsidP="00143789">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143789">
        <w:rPr>
          <w:rFonts w:ascii="Times New Roman" w:hAnsi="Times New Roman" w:cs="Times New Roman"/>
          <w:sz w:val="24"/>
          <w:szCs w:val="24"/>
        </w:rPr>
        <w:t xml:space="preserve">Andy Aus </w:t>
      </w:r>
    </w:p>
    <w:p w14:paraId="756C400D" w14:textId="77777777" w:rsidR="00143789" w:rsidRPr="00143789" w:rsidRDefault="00143789" w:rsidP="00143789">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143789">
        <w:rPr>
          <w:rFonts w:ascii="Times New Roman" w:hAnsi="Times New Roman" w:cs="Times New Roman"/>
          <w:sz w:val="24"/>
          <w:szCs w:val="24"/>
        </w:rPr>
        <w:t>Managing Attorney</w:t>
      </w:r>
    </w:p>
    <w:p w14:paraId="54E22284" w14:textId="77777777" w:rsidR="00143789" w:rsidRPr="00143789" w:rsidRDefault="00143789" w:rsidP="00143789">
      <w:pPr>
        <w:spacing w:after="0" w:line="240" w:lineRule="auto"/>
        <w:ind w:left="4320"/>
        <w:rPr>
          <w:rFonts w:ascii="Times New Roman" w:hAnsi="Times New Roman" w:cs="Times New Roman"/>
          <w:sz w:val="24"/>
          <w:szCs w:val="24"/>
        </w:rPr>
      </w:pPr>
    </w:p>
    <w:p w14:paraId="1AA5F99C" w14:textId="77777777" w:rsidR="00F748F3" w:rsidRPr="00F748F3" w:rsidRDefault="00F748F3" w:rsidP="00F748F3">
      <w:pPr>
        <w:spacing w:after="0" w:line="240" w:lineRule="auto"/>
        <w:ind w:left="4320"/>
        <w:contextualSpacing/>
        <w:rPr>
          <w:rFonts w:ascii="Times New Roman" w:hAnsi="Times New Roman" w:cs="Times New Roman"/>
          <w:sz w:val="24"/>
          <w:szCs w:val="24"/>
          <w:u w:val="single"/>
        </w:rPr>
      </w:pPr>
      <w:r w:rsidRPr="00F748F3">
        <w:rPr>
          <w:rFonts w:ascii="Times New Roman" w:hAnsi="Times New Roman" w:cs="Times New Roman"/>
          <w:sz w:val="24"/>
          <w:szCs w:val="24"/>
          <w:u w:val="single"/>
        </w:rPr>
        <w:t>/s/ Dylan King</w:t>
      </w:r>
      <w:r w:rsidRPr="00F748F3">
        <w:rPr>
          <w:rFonts w:ascii="Times New Roman" w:hAnsi="Times New Roman" w:cs="Times New Roman"/>
          <w:sz w:val="24"/>
          <w:szCs w:val="24"/>
          <w:u w:val="single"/>
        </w:rPr>
        <w:tab/>
      </w:r>
      <w:r w:rsidRPr="00F748F3">
        <w:rPr>
          <w:rFonts w:ascii="Times New Roman" w:hAnsi="Times New Roman" w:cs="Times New Roman"/>
          <w:sz w:val="24"/>
          <w:szCs w:val="24"/>
          <w:u w:val="single"/>
        </w:rPr>
        <w:tab/>
      </w:r>
      <w:r w:rsidRPr="00F748F3">
        <w:rPr>
          <w:rFonts w:ascii="Times New Roman" w:hAnsi="Times New Roman" w:cs="Times New Roman"/>
          <w:sz w:val="24"/>
          <w:szCs w:val="24"/>
          <w:u w:val="single"/>
        </w:rPr>
        <w:tab/>
      </w:r>
    </w:p>
    <w:p w14:paraId="6C6599C8"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 xml:space="preserve">Dylan King </w:t>
      </w:r>
    </w:p>
    <w:p w14:paraId="10C96BC5"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State Bar No. 24131431</w:t>
      </w:r>
    </w:p>
    <w:p w14:paraId="1A381D71"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1701 N. Congress Avenue</w:t>
      </w:r>
    </w:p>
    <w:p w14:paraId="75CE265A"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P.O. Box 13326</w:t>
      </w:r>
    </w:p>
    <w:p w14:paraId="00A254A4"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Austin, Texas 78711-3326</w:t>
      </w:r>
    </w:p>
    <w:p w14:paraId="6E95DA7D"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(512) 936-7299</w:t>
      </w:r>
    </w:p>
    <w:p w14:paraId="05EBCF1F"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(512) 936-7268 (facsimile)</w:t>
      </w:r>
      <w:bookmarkStart w:id="3" w:name="_Hlk118962347"/>
    </w:p>
    <w:p w14:paraId="427591E2" w14:textId="77777777" w:rsidR="00F748F3" w:rsidRPr="00F748F3"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Dylan.King@puc.texas.gov</w:t>
      </w:r>
      <w:bookmarkEnd w:id="3"/>
    </w:p>
    <w:p w14:paraId="2A15159E" w14:textId="77777777" w:rsidR="004768DA" w:rsidRDefault="004768DA" w:rsidP="00F748F3">
      <w:pPr>
        <w:spacing w:after="0" w:line="240" w:lineRule="auto"/>
        <w:jc w:val="center"/>
        <w:rPr>
          <w:rFonts w:ascii="Times New Roman" w:eastAsia="Times New Roman" w:hAnsi="Times New Roman" w:cs="Times New Roman"/>
          <w:b/>
          <w:caps/>
          <w:sz w:val="24"/>
          <w:szCs w:val="24"/>
        </w:rPr>
      </w:pPr>
    </w:p>
    <w:p w14:paraId="27BBC8A0" w14:textId="77777777" w:rsidR="004768DA" w:rsidRDefault="004768DA" w:rsidP="00F748F3">
      <w:pPr>
        <w:spacing w:after="0" w:line="240" w:lineRule="auto"/>
        <w:jc w:val="center"/>
        <w:rPr>
          <w:rFonts w:ascii="Times New Roman" w:eastAsia="Times New Roman" w:hAnsi="Times New Roman" w:cs="Times New Roman"/>
          <w:b/>
          <w:caps/>
          <w:sz w:val="24"/>
          <w:szCs w:val="24"/>
        </w:rPr>
      </w:pPr>
    </w:p>
    <w:p w14:paraId="7750BA33" w14:textId="77777777" w:rsidR="004768DA" w:rsidRDefault="004768DA" w:rsidP="00F748F3">
      <w:pPr>
        <w:spacing w:after="0" w:line="240" w:lineRule="auto"/>
        <w:jc w:val="center"/>
        <w:rPr>
          <w:rFonts w:ascii="Times New Roman" w:eastAsia="Times New Roman" w:hAnsi="Times New Roman" w:cs="Times New Roman"/>
          <w:b/>
          <w:caps/>
          <w:sz w:val="24"/>
          <w:szCs w:val="24"/>
        </w:rPr>
      </w:pPr>
    </w:p>
    <w:p w14:paraId="0DD74B27" w14:textId="77777777" w:rsidR="004768DA" w:rsidRDefault="004768DA" w:rsidP="00F748F3">
      <w:pPr>
        <w:spacing w:after="0" w:line="240" w:lineRule="auto"/>
        <w:jc w:val="center"/>
        <w:rPr>
          <w:rFonts w:ascii="Times New Roman" w:eastAsia="Times New Roman" w:hAnsi="Times New Roman" w:cs="Times New Roman"/>
          <w:b/>
          <w:caps/>
          <w:sz w:val="24"/>
          <w:szCs w:val="24"/>
        </w:rPr>
      </w:pPr>
    </w:p>
    <w:p w14:paraId="76F2AD5A" w14:textId="77777777" w:rsidR="004768DA" w:rsidRDefault="004768DA" w:rsidP="00F748F3">
      <w:pPr>
        <w:spacing w:after="0" w:line="240" w:lineRule="auto"/>
        <w:jc w:val="center"/>
        <w:rPr>
          <w:rFonts w:ascii="Times New Roman" w:eastAsia="Times New Roman" w:hAnsi="Times New Roman" w:cs="Times New Roman"/>
          <w:b/>
          <w:caps/>
          <w:sz w:val="24"/>
          <w:szCs w:val="24"/>
        </w:rPr>
      </w:pPr>
    </w:p>
    <w:p w14:paraId="37090BBF" w14:textId="176ACACC" w:rsidR="00F748F3" w:rsidRPr="00E028D3" w:rsidRDefault="00F748F3" w:rsidP="00F748F3">
      <w:pPr>
        <w:spacing w:after="0" w:line="240" w:lineRule="auto"/>
        <w:jc w:val="center"/>
        <w:rPr>
          <w:rFonts w:ascii="Times New Roman" w:eastAsia="Times New Roman" w:hAnsi="Times New Roman" w:cs="Times New Roman"/>
          <w:b/>
          <w:caps/>
          <w:sz w:val="24"/>
          <w:szCs w:val="24"/>
        </w:rPr>
      </w:pPr>
      <w:r w:rsidRPr="00E028D3">
        <w:rPr>
          <w:rFonts w:ascii="Times New Roman" w:eastAsia="Times New Roman" w:hAnsi="Times New Roman" w:cs="Times New Roman"/>
          <w:b/>
          <w:caps/>
          <w:sz w:val="24"/>
          <w:szCs w:val="24"/>
        </w:rPr>
        <w:lastRenderedPageBreak/>
        <w:t>SOAH DOCKET No. 473-2</w:t>
      </w:r>
      <w:r>
        <w:rPr>
          <w:rFonts w:ascii="Times New Roman" w:eastAsia="Times New Roman" w:hAnsi="Times New Roman" w:cs="Times New Roman"/>
          <w:b/>
          <w:caps/>
          <w:sz w:val="24"/>
          <w:szCs w:val="24"/>
        </w:rPr>
        <w:t>4</w:t>
      </w:r>
      <w:r w:rsidRPr="00E028D3">
        <w:rPr>
          <w:rFonts w:ascii="Times New Roman" w:eastAsia="Times New Roman" w:hAnsi="Times New Roman" w:cs="Times New Roman"/>
          <w:b/>
          <w:caps/>
          <w:sz w:val="24"/>
          <w:szCs w:val="24"/>
        </w:rPr>
        <w:t>-1</w:t>
      </w:r>
      <w:r>
        <w:rPr>
          <w:rFonts w:ascii="Times New Roman" w:eastAsia="Times New Roman" w:hAnsi="Times New Roman" w:cs="Times New Roman"/>
          <w:b/>
          <w:caps/>
          <w:sz w:val="24"/>
          <w:szCs w:val="24"/>
        </w:rPr>
        <w:t>7667</w:t>
      </w:r>
    </w:p>
    <w:p w14:paraId="711469E9" w14:textId="77777777" w:rsidR="00F748F3" w:rsidRPr="00E028D3" w:rsidRDefault="00F748F3" w:rsidP="00F748F3">
      <w:pPr>
        <w:spacing w:after="0" w:line="240" w:lineRule="auto"/>
        <w:jc w:val="center"/>
        <w:rPr>
          <w:rFonts w:ascii="Times New Roman" w:eastAsia="Times New Roman" w:hAnsi="Times New Roman" w:cs="Times New Roman"/>
          <w:b/>
          <w:caps/>
          <w:sz w:val="24"/>
          <w:szCs w:val="24"/>
        </w:rPr>
      </w:pPr>
      <w:r w:rsidRPr="00E028D3">
        <w:rPr>
          <w:rFonts w:ascii="Times New Roman" w:eastAsia="Times New Roman" w:hAnsi="Times New Roman" w:cs="Times New Roman"/>
          <w:b/>
          <w:caps/>
          <w:sz w:val="24"/>
          <w:szCs w:val="24"/>
        </w:rPr>
        <w:t>PUC DOCKET NO. 5</w:t>
      </w:r>
      <w:r>
        <w:rPr>
          <w:rFonts w:ascii="Times New Roman" w:eastAsia="Times New Roman" w:hAnsi="Times New Roman" w:cs="Times New Roman"/>
          <w:b/>
          <w:caps/>
          <w:sz w:val="24"/>
          <w:szCs w:val="24"/>
        </w:rPr>
        <w:t>6544</w:t>
      </w:r>
    </w:p>
    <w:p w14:paraId="6E7B2078" w14:textId="77777777" w:rsidR="00C03E59" w:rsidRPr="00E028D3" w:rsidRDefault="00C03E59" w:rsidP="00C03E59">
      <w:pPr>
        <w:spacing w:after="0" w:line="240" w:lineRule="auto"/>
        <w:jc w:val="center"/>
        <w:rPr>
          <w:rFonts w:ascii="Times New Roman" w:eastAsia="Times New Roman" w:hAnsi="Times New Roman" w:cs="Times New Roman"/>
          <w:b/>
          <w:caps/>
          <w:sz w:val="24"/>
          <w:szCs w:val="24"/>
          <w:highlight w:val="yellow"/>
        </w:rPr>
      </w:pPr>
    </w:p>
    <w:p w14:paraId="049998A7" w14:textId="77777777" w:rsidR="00C03E59" w:rsidRPr="00DC60D4" w:rsidRDefault="00C03E59" w:rsidP="00C03E59">
      <w:pPr>
        <w:keepNext/>
        <w:spacing w:after="0" w:line="360" w:lineRule="auto"/>
        <w:jc w:val="center"/>
        <w:rPr>
          <w:rFonts w:ascii="Times New Roman" w:eastAsia="Times New Roman" w:hAnsi="Times New Roman" w:cs="Times New Roman"/>
          <w:b/>
          <w:sz w:val="24"/>
          <w:szCs w:val="24"/>
        </w:rPr>
      </w:pPr>
      <w:r w:rsidRPr="00DC60D4">
        <w:rPr>
          <w:rFonts w:ascii="Times New Roman" w:eastAsia="Times New Roman" w:hAnsi="Times New Roman" w:cs="Times New Roman"/>
          <w:b/>
          <w:sz w:val="24"/>
          <w:szCs w:val="24"/>
        </w:rPr>
        <w:t>CERTIFICATE OF SERVICE</w:t>
      </w:r>
    </w:p>
    <w:p w14:paraId="1B8F14E0" w14:textId="1B5812E2" w:rsidR="00751698" w:rsidRPr="00DC60D4" w:rsidRDefault="00751698" w:rsidP="00751698">
      <w:pPr>
        <w:keepNext/>
        <w:spacing w:after="0" w:line="360" w:lineRule="auto"/>
        <w:ind w:firstLine="720"/>
        <w:jc w:val="both"/>
        <w:rPr>
          <w:rFonts w:ascii="Times New Roman" w:eastAsia="Times New Roman" w:hAnsi="Times New Roman" w:cs="Times New Roman"/>
          <w:sz w:val="24"/>
          <w:szCs w:val="24"/>
        </w:rPr>
      </w:pPr>
      <w:r w:rsidRPr="00DC60D4">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DC60D4">
        <w:rPr>
          <w:rFonts w:ascii="Times New Roman" w:eastAsia="Times New Roman" w:hAnsi="Times New Roman" w:cs="Times New Roman"/>
          <w:sz w:val="24"/>
          <w:szCs w:val="24"/>
        </w:rPr>
        <w:fldChar w:fldCharType="begin"/>
      </w:r>
      <w:r w:rsidRPr="00DC60D4">
        <w:rPr>
          <w:rFonts w:ascii="Times New Roman" w:eastAsia="Times New Roman" w:hAnsi="Times New Roman" w:cs="Times New Roman"/>
          <w:sz w:val="24"/>
          <w:szCs w:val="24"/>
        </w:rPr>
        <w:instrText xml:space="preserve"> DATE \@ "MMMM d, yyyy" </w:instrText>
      </w:r>
      <w:r w:rsidRPr="00DC60D4">
        <w:rPr>
          <w:rFonts w:ascii="Times New Roman" w:eastAsia="Times New Roman" w:hAnsi="Times New Roman" w:cs="Times New Roman"/>
          <w:sz w:val="24"/>
          <w:szCs w:val="24"/>
        </w:rPr>
        <w:fldChar w:fldCharType="separate"/>
      </w:r>
      <w:r w:rsidR="00496879">
        <w:rPr>
          <w:rFonts w:ascii="Times New Roman" w:eastAsia="Times New Roman" w:hAnsi="Times New Roman" w:cs="Times New Roman"/>
          <w:noProof/>
          <w:sz w:val="24"/>
          <w:szCs w:val="24"/>
        </w:rPr>
        <w:t>May 17, 2024</w:t>
      </w:r>
      <w:r w:rsidRPr="00DC60D4">
        <w:rPr>
          <w:rFonts w:ascii="Times New Roman" w:eastAsia="Times New Roman" w:hAnsi="Times New Roman" w:cs="Times New Roman"/>
          <w:sz w:val="24"/>
          <w:szCs w:val="24"/>
        </w:rPr>
        <w:fldChar w:fldCharType="end"/>
      </w:r>
      <w:r w:rsidRPr="00DC60D4">
        <w:rPr>
          <w:rFonts w:ascii="Times New Roman" w:eastAsia="Times New Roman" w:hAnsi="Times New Roman" w:cs="Times New Roman"/>
          <w:sz w:val="24"/>
          <w:szCs w:val="24"/>
        </w:rPr>
        <w:t xml:space="preserve">, in accordance with the </w:t>
      </w:r>
      <w:r w:rsidR="00E028D3" w:rsidRPr="00DC60D4">
        <w:rPr>
          <w:rFonts w:ascii="Times New Roman" w:eastAsia="Times New Roman" w:hAnsi="Times New Roman" w:cs="Times New Roman"/>
          <w:sz w:val="24"/>
          <w:szCs w:val="24"/>
        </w:rPr>
        <w:t xml:space="preserve">Second </w:t>
      </w:r>
      <w:r w:rsidRPr="00DC60D4">
        <w:rPr>
          <w:rFonts w:ascii="Times New Roman" w:eastAsia="Times New Roman" w:hAnsi="Times New Roman" w:cs="Times New Roman"/>
          <w:sz w:val="24"/>
          <w:szCs w:val="24"/>
        </w:rPr>
        <w:t>Order Suspending Rules, issued in Project No. 50664.</w:t>
      </w:r>
    </w:p>
    <w:p w14:paraId="23497D02" w14:textId="77777777" w:rsidR="001F1D77" w:rsidRPr="00E028D3" w:rsidRDefault="001F1D77" w:rsidP="00751698">
      <w:pPr>
        <w:keepNext/>
        <w:spacing w:after="0" w:line="360" w:lineRule="auto"/>
        <w:ind w:firstLine="720"/>
        <w:jc w:val="both"/>
        <w:rPr>
          <w:rFonts w:ascii="Times New Roman" w:eastAsia="Times New Roman" w:hAnsi="Times New Roman" w:cs="Times New Roman"/>
          <w:sz w:val="24"/>
          <w:szCs w:val="24"/>
          <w:highlight w:val="yellow"/>
        </w:rPr>
      </w:pPr>
    </w:p>
    <w:p w14:paraId="54E4247D" w14:textId="77777777" w:rsidR="00F748F3" w:rsidRPr="00F748F3" w:rsidRDefault="00F748F3" w:rsidP="00F748F3">
      <w:pPr>
        <w:spacing w:after="0" w:line="240" w:lineRule="auto"/>
        <w:ind w:left="4320"/>
        <w:contextualSpacing/>
        <w:rPr>
          <w:rFonts w:ascii="Times New Roman" w:hAnsi="Times New Roman" w:cs="Times New Roman"/>
          <w:sz w:val="24"/>
          <w:szCs w:val="24"/>
          <w:u w:val="single"/>
        </w:rPr>
      </w:pPr>
      <w:r w:rsidRPr="00F748F3">
        <w:rPr>
          <w:rFonts w:ascii="Times New Roman" w:hAnsi="Times New Roman" w:cs="Times New Roman"/>
          <w:sz w:val="24"/>
          <w:szCs w:val="24"/>
          <w:u w:val="single"/>
        </w:rPr>
        <w:t>/s/ Dylan King</w:t>
      </w:r>
      <w:r w:rsidRPr="00F748F3">
        <w:rPr>
          <w:rFonts w:ascii="Times New Roman" w:hAnsi="Times New Roman" w:cs="Times New Roman"/>
          <w:sz w:val="24"/>
          <w:szCs w:val="24"/>
          <w:u w:val="single"/>
        </w:rPr>
        <w:tab/>
      </w:r>
      <w:r w:rsidRPr="00F748F3">
        <w:rPr>
          <w:rFonts w:ascii="Times New Roman" w:hAnsi="Times New Roman" w:cs="Times New Roman"/>
          <w:sz w:val="24"/>
          <w:szCs w:val="24"/>
          <w:u w:val="single"/>
        </w:rPr>
        <w:tab/>
      </w:r>
      <w:r w:rsidRPr="00F748F3">
        <w:rPr>
          <w:rFonts w:ascii="Times New Roman" w:hAnsi="Times New Roman" w:cs="Times New Roman"/>
          <w:sz w:val="24"/>
          <w:szCs w:val="24"/>
          <w:u w:val="single"/>
        </w:rPr>
        <w:tab/>
      </w:r>
    </w:p>
    <w:p w14:paraId="52CB2D8C" w14:textId="1A52EC0B" w:rsidR="00BF636B" w:rsidRPr="00143789" w:rsidRDefault="00F748F3" w:rsidP="00F748F3">
      <w:pPr>
        <w:spacing w:after="0" w:line="240" w:lineRule="auto"/>
        <w:ind w:left="4320"/>
        <w:contextualSpacing/>
        <w:rPr>
          <w:rFonts w:ascii="Times New Roman" w:hAnsi="Times New Roman" w:cs="Times New Roman"/>
          <w:sz w:val="24"/>
          <w:szCs w:val="24"/>
        </w:rPr>
      </w:pPr>
      <w:r w:rsidRPr="00F748F3">
        <w:rPr>
          <w:rFonts w:ascii="Times New Roman" w:hAnsi="Times New Roman" w:cs="Times New Roman"/>
          <w:sz w:val="24"/>
          <w:szCs w:val="24"/>
        </w:rPr>
        <w:t xml:space="preserve">Dylan King </w:t>
      </w:r>
    </w:p>
    <w:sectPr w:rsidR="00BF636B" w:rsidRPr="001437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ACF06" w14:textId="77777777" w:rsidR="00BB482B" w:rsidRDefault="00BB482B" w:rsidP="00703DF4">
      <w:pPr>
        <w:spacing w:after="0" w:line="240" w:lineRule="auto"/>
      </w:pPr>
      <w:r>
        <w:separator/>
      </w:r>
    </w:p>
  </w:endnote>
  <w:endnote w:type="continuationSeparator" w:id="0">
    <w:p w14:paraId="72D34F94" w14:textId="77777777" w:rsidR="00BB482B" w:rsidRDefault="00BB482B"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C32B" w14:textId="77777777" w:rsidR="00BB482B" w:rsidRDefault="00BB482B" w:rsidP="00703DF4">
      <w:pPr>
        <w:spacing w:after="0" w:line="240" w:lineRule="auto"/>
      </w:pPr>
      <w:r>
        <w:separator/>
      </w:r>
    </w:p>
  </w:footnote>
  <w:footnote w:type="continuationSeparator" w:id="0">
    <w:p w14:paraId="06D98BCD" w14:textId="77777777" w:rsidR="00BB482B" w:rsidRDefault="00BB482B" w:rsidP="00703DF4">
      <w:pPr>
        <w:spacing w:after="0" w:line="240" w:lineRule="auto"/>
      </w:pPr>
      <w:r>
        <w:continuationSeparator/>
      </w:r>
    </w:p>
  </w:footnote>
  <w:footnote w:id="1">
    <w:p w14:paraId="63F637CD" w14:textId="39EF60A1" w:rsidR="00842854" w:rsidRPr="000B3B74" w:rsidRDefault="00842854" w:rsidP="00842854">
      <w:pPr>
        <w:pStyle w:val="FootnoteText"/>
        <w:ind w:firstLine="720"/>
        <w:rPr>
          <w:rFonts w:ascii="Times New Roman" w:hAnsi="Times New Roman" w:cs="Times New Roman"/>
        </w:rPr>
      </w:pPr>
      <w:r w:rsidRPr="00842854">
        <w:rPr>
          <w:rStyle w:val="FootnoteReference"/>
          <w:rFonts w:ascii="Times New Roman" w:hAnsi="Times New Roman" w:cs="Times New Roman"/>
        </w:rPr>
        <w:footnoteRef/>
      </w:r>
      <w:r w:rsidRPr="00842854">
        <w:rPr>
          <w:rFonts w:ascii="Times New Roman" w:hAnsi="Times New Roman" w:cs="Times New Roman"/>
        </w:rPr>
        <w:t xml:space="preserve"> Public U</w:t>
      </w:r>
      <w:r w:rsidRPr="000B3B74">
        <w:rPr>
          <w:rFonts w:ascii="Times New Roman" w:hAnsi="Times New Roman" w:cs="Times New Roman"/>
        </w:rPr>
        <w:t>tility Regulatory Act, Tex. Util. Code §§ 11.001-66.017.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5287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0351D"/>
    <w:rsid w:val="000055F2"/>
    <w:rsid w:val="000138C3"/>
    <w:rsid w:val="00026488"/>
    <w:rsid w:val="00030E3D"/>
    <w:rsid w:val="00034DB0"/>
    <w:rsid w:val="000635F7"/>
    <w:rsid w:val="00097980"/>
    <w:rsid w:val="000A2A79"/>
    <w:rsid w:val="000B14C7"/>
    <w:rsid w:val="000B3B74"/>
    <w:rsid w:val="000C3E52"/>
    <w:rsid w:val="000D6DF0"/>
    <w:rsid w:val="000E0E9F"/>
    <w:rsid w:val="000E275E"/>
    <w:rsid w:val="000E5AFD"/>
    <w:rsid w:val="000F5BCE"/>
    <w:rsid w:val="000F602B"/>
    <w:rsid w:val="0010009E"/>
    <w:rsid w:val="00140AA7"/>
    <w:rsid w:val="00143789"/>
    <w:rsid w:val="001451EA"/>
    <w:rsid w:val="00145CA7"/>
    <w:rsid w:val="00172EBA"/>
    <w:rsid w:val="00174E13"/>
    <w:rsid w:val="00180AA4"/>
    <w:rsid w:val="00192F72"/>
    <w:rsid w:val="001A4F6C"/>
    <w:rsid w:val="001C23C4"/>
    <w:rsid w:val="001D785F"/>
    <w:rsid w:val="001F1D77"/>
    <w:rsid w:val="002230AB"/>
    <w:rsid w:val="00230BB7"/>
    <w:rsid w:val="00251644"/>
    <w:rsid w:val="00255C6A"/>
    <w:rsid w:val="0027057E"/>
    <w:rsid w:val="002763DE"/>
    <w:rsid w:val="00287147"/>
    <w:rsid w:val="002B0EBA"/>
    <w:rsid w:val="002E1600"/>
    <w:rsid w:val="002E71C0"/>
    <w:rsid w:val="00303F0E"/>
    <w:rsid w:val="0033042B"/>
    <w:rsid w:val="00330E37"/>
    <w:rsid w:val="00330E75"/>
    <w:rsid w:val="00336D28"/>
    <w:rsid w:val="003509BD"/>
    <w:rsid w:val="00362053"/>
    <w:rsid w:val="00362BB2"/>
    <w:rsid w:val="00374611"/>
    <w:rsid w:val="0038026A"/>
    <w:rsid w:val="00386628"/>
    <w:rsid w:val="003932AB"/>
    <w:rsid w:val="003A25F0"/>
    <w:rsid w:val="003B3CD5"/>
    <w:rsid w:val="003D1131"/>
    <w:rsid w:val="003F6DD4"/>
    <w:rsid w:val="00402235"/>
    <w:rsid w:val="00402763"/>
    <w:rsid w:val="00404200"/>
    <w:rsid w:val="0041715D"/>
    <w:rsid w:val="00467246"/>
    <w:rsid w:val="004765A6"/>
    <w:rsid w:val="004768DA"/>
    <w:rsid w:val="00485E9D"/>
    <w:rsid w:val="00486AB6"/>
    <w:rsid w:val="00491009"/>
    <w:rsid w:val="0049568E"/>
    <w:rsid w:val="00496879"/>
    <w:rsid w:val="00496A4F"/>
    <w:rsid w:val="004A65A4"/>
    <w:rsid w:val="004B1821"/>
    <w:rsid w:val="004B2F99"/>
    <w:rsid w:val="004D4ABA"/>
    <w:rsid w:val="004E4FF3"/>
    <w:rsid w:val="004F0B94"/>
    <w:rsid w:val="004F2552"/>
    <w:rsid w:val="004F5185"/>
    <w:rsid w:val="00500EC9"/>
    <w:rsid w:val="005115EA"/>
    <w:rsid w:val="00515340"/>
    <w:rsid w:val="00531282"/>
    <w:rsid w:val="00573DC6"/>
    <w:rsid w:val="00574892"/>
    <w:rsid w:val="00582E34"/>
    <w:rsid w:val="0058466F"/>
    <w:rsid w:val="00591033"/>
    <w:rsid w:val="00595B10"/>
    <w:rsid w:val="00595BCE"/>
    <w:rsid w:val="005A2ACA"/>
    <w:rsid w:val="005E3EE0"/>
    <w:rsid w:val="005F5920"/>
    <w:rsid w:val="00612FEF"/>
    <w:rsid w:val="00654B31"/>
    <w:rsid w:val="00660E86"/>
    <w:rsid w:val="00687939"/>
    <w:rsid w:val="006A36D0"/>
    <w:rsid w:val="006C7FAB"/>
    <w:rsid w:val="006F2D54"/>
    <w:rsid w:val="006F742C"/>
    <w:rsid w:val="00703DF4"/>
    <w:rsid w:val="007204E7"/>
    <w:rsid w:val="00726B6D"/>
    <w:rsid w:val="00731115"/>
    <w:rsid w:val="00743C9E"/>
    <w:rsid w:val="00751698"/>
    <w:rsid w:val="00755441"/>
    <w:rsid w:val="00772919"/>
    <w:rsid w:val="00780C56"/>
    <w:rsid w:val="007B1C31"/>
    <w:rsid w:val="007B6E34"/>
    <w:rsid w:val="007D4335"/>
    <w:rsid w:val="007F0BD3"/>
    <w:rsid w:val="00806E82"/>
    <w:rsid w:val="00821130"/>
    <w:rsid w:val="00841929"/>
    <w:rsid w:val="00842854"/>
    <w:rsid w:val="00842D5F"/>
    <w:rsid w:val="008629AD"/>
    <w:rsid w:val="00874812"/>
    <w:rsid w:val="008834C3"/>
    <w:rsid w:val="008960DA"/>
    <w:rsid w:val="00896BE9"/>
    <w:rsid w:val="008A1827"/>
    <w:rsid w:val="008A4004"/>
    <w:rsid w:val="008B2070"/>
    <w:rsid w:val="008C5A7E"/>
    <w:rsid w:val="008D2129"/>
    <w:rsid w:val="008E29F9"/>
    <w:rsid w:val="008F45E8"/>
    <w:rsid w:val="0090196B"/>
    <w:rsid w:val="00911C0A"/>
    <w:rsid w:val="009132C5"/>
    <w:rsid w:val="00932B17"/>
    <w:rsid w:val="0095103B"/>
    <w:rsid w:val="00965A73"/>
    <w:rsid w:val="00970F23"/>
    <w:rsid w:val="0097478E"/>
    <w:rsid w:val="00975709"/>
    <w:rsid w:val="009A252C"/>
    <w:rsid w:val="009E1694"/>
    <w:rsid w:val="009E3D62"/>
    <w:rsid w:val="009E68E9"/>
    <w:rsid w:val="009F2B05"/>
    <w:rsid w:val="00A07100"/>
    <w:rsid w:val="00A11339"/>
    <w:rsid w:val="00A12C56"/>
    <w:rsid w:val="00A16647"/>
    <w:rsid w:val="00A20E63"/>
    <w:rsid w:val="00A55FA1"/>
    <w:rsid w:val="00A661D4"/>
    <w:rsid w:val="00A674A9"/>
    <w:rsid w:val="00A7625F"/>
    <w:rsid w:val="00A9190D"/>
    <w:rsid w:val="00AA28F2"/>
    <w:rsid w:val="00AA2FC3"/>
    <w:rsid w:val="00AB1D98"/>
    <w:rsid w:val="00AC0DF4"/>
    <w:rsid w:val="00AE46B9"/>
    <w:rsid w:val="00AF28D4"/>
    <w:rsid w:val="00B1103F"/>
    <w:rsid w:val="00B130B2"/>
    <w:rsid w:val="00B21D7A"/>
    <w:rsid w:val="00B458E5"/>
    <w:rsid w:val="00B70167"/>
    <w:rsid w:val="00B82444"/>
    <w:rsid w:val="00B834E6"/>
    <w:rsid w:val="00BB482B"/>
    <w:rsid w:val="00BD06AE"/>
    <w:rsid w:val="00BD1160"/>
    <w:rsid w:val="00BE1478"/>
    <w:rsid w:val="00BE7ADB"/>
    <w:rsid w:val="00BF636B"/>
    <w:rsid w:val="00C03E59"/>
    <w:rsid w:val="00C13D58"/>
    <w:rsid w:val="00C46089"/>
    <w:rsid w:val="00C517C3"/>
    <w:rsid w:val="00C64F00"/>
    <w:rsid w:val="00C7320A"/>
    <w:rsid w:val="00C82B03"/>
    <w:rsid w:val="00C93AC6"/>
    <w:rsid w:val="00C957D0"/>
    <w:rsid w:val="00CC6C9C"/>
    <w:rsid w:val="00CD0F97"/>
    <w:rsid w:val="00CD15C3"/>
    <w:rsid w:val="00CD736D"/>
    <w:rsid w:val="00CE7685"/>
    <w:rsid w:val="00D409F1"/>
    <w:rsid w:val="00D473BC"/>
    <w:rsid w:val="00D62324"/>
    <w:rsid w:val="00D65BB8"/>
    <w:rsid w:val="00D82850"/>
    <w:rsid w:val="00D91E46"/>
    <w:rsid w:val="00D93545"/>
    <w:rsid w:val="00DA5468"/>
    <w:rsid w:val="00DA6859"/>
    <w:rsid w:val="00DC60D4"/>
    <w:rsid w:val="00DD5D8C"/>
    <w:rsid w:val="00DE570E"/>
    <w:rsid w:val="00E028D3"/>
    <w:rsid w:val="00E13BEF"/>
    <w:rsid w:val="00E1459B"/>
    <w:rsid w:val="00E176CA"/>
    <w:rsid w:val="00E201EF"/>
    <w:rsid w:val="00E43893"/>
    <w:rsid w:val="00E5013C"/>
    <w:rsid w:val="00E51FAB"/>
    <w:rsid w:val="00E63517"/>
    <w:rsid w:val="00E65812"/>
    <w:rsid w:val="00E665DA"/>
    <w:rsid w:val="00EA080D"/>
    <w:rsid w:val="00EA2945"/>
    <w:rsid w:val="00EB13E2"/>
    <w:rsid w:val="00EB367E"/>
    <w:rsid w:val="00EC090B"/>
    <w:rsid w:val="00EC30DE"/>
    <w:rsid w:val="00ED0523"/>
    <w:rsid w:val="00ED4E1A"/>
    <w:rsid w:val="00ED62BB"/>
    <w:rsid w:val="00F32258"/>
    <w:rsid w:val="00F42D27"/>
    <w:rsid w:val="00F55E62"/>
    <w:rsid w:val="00F748F3"/>
    <w:rsid w:val="00F75157"/>
    <w:rsid w:val="00F82812"/>
    <w:rsid w:val="00FB2E62"/>
    <w:rsid w:val="00FE1C7B"/>
    <w:rsid w:val="00FE6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paragraph" w:styleId="Revision">
    <w:name w:val="Revision"/>
    <w:hidden/>
    <w:uiPriority w:val="99"/>
    <w:semiHidden/>
    <w:rsid w:val="00743C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078530">
      <w:bodyDiv w:val="1"/>
      <w:marLeft w:val="0"/>
      <w:marRight w:val="0"/>
      <w:marTop w:val="0"/>
      <w:marBottom w:val="0"/>
      <w:divBdr>
        <w:top w:val="none" w:sz="0" w:space="0" w:color="auto"/>
        <w:left w:val="none" w:sz="0" w:space="0" w:color="auto"/>
        <w:bottom w:val="none" w:sz="0" w:space="0" w:color="auto"/>
        <w:right w:val="none" w:sz="0" w:space="0" w:color="auto"/>
      </w:divBdr>
    </w:div>
    <w:div w:id="210568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2024-05-17T14:44:00Z</dcterms:created>
  <dcterms:modified xsi:type="dcterms:W3CDTF">2024-05-17T15:05:00Z</dcterms:modified>
</cp:coreProperties>
</file>